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0E" w:rsidRPr="00A6540E" w:rsidRDefault="006D68DA" w:rsidP="006D68DA">
      <w:pPr>
        <w:pStyle w:val="Ttulo1"/>
        <w:spacing w:before="0" w:line="240" w:lineRule="auto"/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sz w:val="32"/>
          <w:szCs w:val="32"/>
        </w:rPr>
        <w:t xml:space="preserve">Juiz </w:t>
      </w:r>
      <w:r w:rsidR="00C10A14">
        <w:rPr>
          <w:rFonts w:ascii="Cambria" w:hAnsi="Cambria"/>
          <w:sz w:val="32"/>
          <w:szCs w:val="32"/>
        </w:rPr>
        <w:t xml:space="preserve">reconhecido pelo </w:t>
      </w:r>
      <w:r w:rsidR="00475C16">
        <w:rPr>
          <w:rFonts w:ascii="Cambria" w:hAnsi="Cambria"/>
          <w:sz w:val="32"/>
          <w:szCs w:val="32"/>
        </w:rPr>
        <w:t xml:space="preserve">êxito </w:t>
      </w:r>
      <w:r w:rsidR="00836A65">
        <w:rPr>
          <w:rFonts w:ascii="Cambria" w:hAnsi="Cambria"/>
          <w:sz w:val="32"/>
          <w:szCs w:val="32"/>
        </w:rPr>
        <w:t xml:space="preserve">em </w:t>
      </w:r>
      <w:r w:rsidR="00C10A14">
        <w:rPr>
          <w:rFonts w:ascii="Cambria" w:hAnsi="Cambria"/>
          <w:sz w:val="32"/>
          <w:szCs w:val="32"/>
        </w:rPr>
        <w:t>recuperações judiciais palestrará em Porto Alegre</w:t>
      </w:r>
    </w:p>
    <w:p w:rsidR="00980C8F" w:rsidRPr="00980C8F" w:rsidRDefault="00980C8F" w:rsidP="00980C8F">
      <w:pPr>
        <w:spacing w:after="0" w:line="240" w:lineRule="auto"/>
        <w:ind w:firstLine="709"/>
        <w:jc w:val="center"/>
        <w:rPr>
          <w:rFonts w:cs="Tahoma"/>
          <w:sz w:val="24"/>
          <w:szCs w:val="24"/>
        </w:rPr>
      </w:pPr>
    </w:p>
    <w:p w:rsidR="00980C8F" w:rsidRPr="00836A65" w:rsidRDefault="00475C16" w:rsidP="00CD6767">
      <w:pPr>
        <w:spacing w:after="0" w:line="240" w:lineRule="auto"/>
        <w:ind w:firstLine="709"/>
        <w:jc w:val="center"/>
        <w:rPr>
          <w:rFonts w:cs="Tahoma"/>
          <w:i/>
          <w:color w:val="000000" w:themeColor="text1"/>
          <w:sz w:val="24"/>
          <w:szCs w:val="24"/>
        </w:rPr>
      </w:pPr>
      <w:r w:rsidRPr="00CD6767">
        <w:rPr>
          <w:rFonts w:cs="Tahoma"/>
          <w:i/>
          <w:sz w:val="24"/>
          <w:szCs w:val="24"/>
        </w:rPr>
        <w:t xml:space="preserve">Daniel </w:t>
      </w:r>
      <w:proofErr w:type="spellStart"/>
      <w:r>
        <w:rPr>
          <w:rFonts w:cs="Tahoma"/>
          <w:i/>
          <w:sz w:val="24"/>
          <w:szCs w:val="24"/>
        </w:rPr>
        <w:t>Carnio</w:t>
      </w:r>
      <w:proofErr w:type="spellEnd"/>
      <w:r>
        <w:rPr>
          <w:rFonts w:cs="Tahoma"/>
          <w:i/>
          <w:sz w:val="24"/>
          <w:szCs w:val="24"/>
        </w:rPr>
        <w:t xml:space="preserve"> </w:t>
      </w:r>
      <w:r w:rsidRPr="00CD6767">
        <w:rPr>
          <w:rFonts w:cs="Tahoma"/>
          <w:i/>
          <w:sz w:val="24"/>
          <w:szCs w:val="24"/>
        </w:rPr>
        <w:t>Costa</w:t>
      </w:r>
      <w:r>
        <w:rPr>
          <w:rFonts w:cs="Tahoma"/>
          <w:i/>
          <w:sz w:val="24"/>
          <w:szCs w:val="24"/>
        </w:rPr>
        <w:t xml:space="preserve"> é titular</w:t>
      </w:r>
      <w:r w:rsidR="00CD6767">
        <w:rPr>
          <w:rFonts w:cs="Tahoma"/>
          <w:i/>
          <w:sz w:val="24"/>
          <w:szCs w:val="24"/>
        </w:rPr>
        <w:t xml:space="preserve"> </w:t>
      </w:r>
      <w:r>
        <w:rPr>
          <w:rFonts w:cs="Tahoma"/>
          <w:i/>
          <w:sz w:val="24"/>
          <w:szCs w:val="24"/>
        </w:rPr>
        <w:t>da v</w:t>
      </w:r>
      <w:r w:rsidR="00CD6767">
        <w:rPr>
          <w:rFonts w:cs="Tahoma"/>
          <w:i/>
          <w:sz w:val="24"/>
          <w:szCs w:val="24"/>
        </w:rPr>
        <w:t xml:space="preserve">ara com maior índice de sucesso na </w:t>
      </w:r>
      <w:r w:rsidR="00836A65">
        <w:rPr>
          <w:rFonts w:cs="Tahoma"/>
          <w:i/>
          <w:color w:val="000000" w:themeColor="text1"/>
          <w:sz w:val="24"/>
          <w:szCs w:val="24"/>
        </w:rPr>
        <w:t>reestruturação</w:t>
      </w:r>
      <w:r w:rsidRPr="00836A65">
        <w:rPr>
          <w:rFonts w:cs="Tahoma"/>
          <w:i/>
          <w:color w:val="000000" w:themeColor="text1"/>
          <w:sz w:val="24"/>
          <w:szCs w:val="24"/>
        </w:rPr>
        <w:t xml:space="preserve"> de empresas no pais</w:t>
      </w:r>
    </w:p>
    <w:p w:rsidR="00CD6767" w:rsidRDefault="00CD6767" w:rsidP="00CD6767">
      <w:pPr>
        <w:spacing w:after="0" w:line="240" w:lineRule="auto"/>
        <w:ind w:firstLine="709"/>
        <w:jc w:val="center"/>
        <w:rPr>
          <w:rFonts w:cs="Tahoma"/>
          <w:sz w:val="24"/>
          <w:szCs w:val="24"/>
        </w:rPr>
      </w:pPr>
    </w:p>
    <w:p w:rsidR="00980C8F" w:rsidRPr="00980C8F" w:rsidRDefault="00980C8F" w:rsidP="00980C8F">
      <w:pPr>
        <w:ind w:firstLine="708"/>
        <w:jc w:val="both"/>
        <w:rPr>
          <w:rFonts w:cs="Tahoma"/>
          <w:sz w:val="24"/>
          <w:szCs w:val="24"/>
        </w:rPr>
      </w:pPr>
      <w:r w:rsidRPr="00980C8F">
        <w:rPr>
          <w:rFonts w:cs="Tahoma"/>
          <w:sz w:val="24"/>
          <w:szCs w:val="24"/>
        </w:rPr>
        <w:t>Juiz da 1ª Vara de Falências e Recuperação Judicial de São Paulo que participou do grup</w:t>
      </w:r>
      <w:r w:rsidR="009D5338">
        <w:rPr>
          <w:rFonts w:cs="Tahoma"/>
          <w:sz w:val="24"/>
          <w:szCs w:val="24"/>
        </w:rPr>
        <w:t>o de estudos para a reforma da L</w:t>
      </w:r>
      <w:r w:rsidRPr="00980C8F">
        <w:rPr>
          <w:rFonts w:cs="Tahoma"/>
          <w:sz w:val="24"/>
          <w:szCs w:val="24"/>
        </w:rPr>
        <w:t xml:space="preserve">ei de </w:t>
      </w:r>
      <w:r w:rsidR="009D5338">
        <w:rPr>
          <w:rFonts w:cs="Tahoma"/>
          <w:sz w:val="24"/>
          <w:szCs w:val="24"/>
        </w:rPr>
        <w:t>R</w:t>
      </w:r>
      <w:r w:rsidRPr="00980C8F">
        <w:rPr>
          <w:rFonts w:cs="Tahoma"/>
          <w:sz w:val="24"/>
          <w:szCs w:val="24"/>
        </w:rPr>
        <w:t xml:space="preserve">ecuperação </w:t>
      </w:r>
      <w:r w:rsidR="009D5338">
        <w:rPr>
          <w:rFonts w:cs="Tahoma"/>
          <w:sz w:val="24"/>
          <w:szCs w:val="24"/>
        </w:rPr>
        <w:t>J</w:t>
      </w:r>
      <w:r w:rsidRPr="00980C8F">
        <w:rPr>
          <w:rFonts w:cs="Tahoma"/>
          <w:sz w:val="24"/>
          <w:szCs w:val="24"/>
        </w:rPr>
        <w:t>udicial, Daniel Carnio Costa estará em Porto Alegre no dia 27 de junho</w:t>
      </w:r>
      <w:r w:rsidR="001E0CF2">
        <w:rPr>
          <w:rFonts w:cs="Tahoma"/>
          <w:sz w:val="24"/>
          <w:szCs w:val="24"/>
        </w:rPr>
        <w:t xml:space="preserve">. O magistrado palestrará, a partir das 8h30, no </w:t>
      </w:r>
      <w:proofErr w:type="spellStart"/>
      <w:r w:rsidR="001E0CF2" w:rsidRPr="00980C8F">
        <w:rPr>
          <w:rFonts w:cs="Tahoma"/>
          <w:sz w:val="24"/>
          <w:szCs w:val="24"/>
        </w:rPr>
        <w:t>Novotel</w:t>
      </w:r>
      <w:proofErr w:type="spellEnd"/>
      <w:r w:rsidR="001E0CF2" w:rsidRPr="00980C8F">
        <w:rPr>
          <w:rFonts w:cs="Tahoma"/>
          <w:sz w:val="24"/>
          <w:szCs w:val="24"/>
        </w:rPr>
        <w:t xml:space="preserve"> Aeroporto</w:t>
      </w:r>
      <w:r w:rsidR="001E0CF2">
        <w:rPr>
          <w:rFonts w:cs="Tahoma"/>
          <w:sz w:val="24"/>
          <w:szCs w:val="24"/>
        </w:rPr>
        <w:t xml:space="preserve">, em evento realizado pelo escritório Scalzilli Althaus e pelo </w:t>
      </w:r>
      <w:r w:rsidRPr="00980C8F">
        <w:rPr>
          <w:rFonts w:cs="Tahoma"/>
          <w:sz w:val="24"/>
          <w:szCs w:val="24"/>
        </w:rPr>
        <w:t xml:space="preserve">Sindicato das Sociedades de Fomento Mercantil </w:t>
      </w:r>
      <w:r>
        <w:rPr>
          <w:rFonts w:cs="Tahoma"/>
          <w:sz w:val="24"/>
          <w:szCs w:val="24"/>
        </w:rPr>
        <w:t>–</w:t>
      </w:r>
      <w:r w:rsidRPr="00980C8F">
        <w:rPr>
          <w:rFonts w:cs="Tahoma"/>
          <w:sz w:val="24"/>
          <w:szCs w:val="24"/>
        </w:rPr>
        <w:t xml:space="preserve"> Factoring do Estado do Rio Grande do Sul</w:t>
      </w:r>
      <w:r w:rsidR="001401A3">
        <w:rPr>
          <w:rFonts w:cs="Tahoma"/>
          <w:sz w:val="24"/>
          <w:szCs w:val="24"/>
        </w:rPr>
        <w:t xml:space="preserve"> (</w:t>
      </w:r>
      <w:proofErr w:type="spellStart"/>
      <w:r w:rsidR="001401A3" w:rsidRPr="00980C8F">
        <w:rPr>
          <w:rFonts w:cs="Tahoma"/>
          <w:sz w:val="24"/>
          <w:szCs w:val="24"/>
        </w:rPr>
        <w:t>Sinfac</w:t>
      </w:r>
      <w:proofErr w:type="spellEnd"/>
      <w:r w:rsidR="001401A3" w:rsidRPr="00980C8F">
        <w:rPr>
          <w:rFonts w:cs="Tahoma"/>
          <w:sz w:val="24"/>
          <w:szCs w:val="24"/>
        </w:rPr>
        <w:t>-RS</w:t>
      </w:r>
      <w:r w:rsidRPr="00980C8F">
        <w:rPr>
          <w:rFonts w:cs="Tahoma"/>
          <w:sz w:val="24"/>
          <w:szCs w:val="24"/>
        </w:rPr>
        <w:t xml:space="preserve">). </w:t>
      </w:r>
    </w:p>
    <w:p w:rsidR="00475C16" w:rsidRDefault="00592EF8" w:rsidP="00475C16">
      <w:pPr>
        <w:ind w:firstLine="708"/>
        <w:jc w:val="both"/>
        <w:rPr>
          <w:rFonts w:cs="Tahoma"/>
          <w:sz w:val="24"/>
          <w:szCs w:val="24"/>
        </w:rPr>
      </w:pPr>
      <w:r w:rsidRPr="00980C8F">
        <w:rPr>
          <w:rFonts w:cs="Tahoma"/>
          <w:sz w:val="24"/>
          <w:szCs w:val="24"/>
        </w:rPr>
        <w:t>Um dos motivos para a atualização da Lei 11.101/2005, em tramitação no Congresso, é elevar a taxa de recuperação das empresas ao patamar de países como a Alemanha e Austrália, onde os percentuais variam de 60% a 70%.</w:t>
      </w:r>
      <w:r w:rsidR="00475C16">
        <w:rPr>
          <w:rFonts w:cs="Tahoma"/>
          <w:sz w:val="24"/>
          <w:szCs w:val="24"/>
        </w:rPr>
        <w:t xml:space="preserve"> Daniel </w:t>
      </w:r>
      <w:proofErr w:type="spellStart"/>
      <w:r w:rsidR="00475C16">
        <w:rPr>
          <w:rFonts w:cs="Tahoma"/>
          <w:sz w:val="24"/>
          <w:szCs w:val="24"/>
        </w:rPr>
        <w:t>Carnio</w:t>
      </w:r>
      <w:proofErr w:type="spellEnd"/>
      <w:r w:rsidR="00475C16">
        <w:rPr>
          <w:rFonts w:cs="Tahoma"/>
          <w:sz w:val="24"/>
          <w:szCs w:val="24"/>
        </w:rPr>
        <w:t xml:space="preserve"> Costa avaliará as </w:t>
      </w:r>
      <w:r w:rsidRPr="00980C8F">
        <w:rPr>
          <w:rFonts w:cs="Tahoma"/>
          <w:sz w:val="24"/>
          <w:szCs w:val="24"/>
        </w:rPr>
        <w:t xml:space="preserve">alterações sugeridas </w:t>
      </w:r>
      <w:r w:rsidR="00475C16">
        <w:rPr>
          <w:rFonts w:cs="Tahoma"/>
          <w:sz w:val="24"/>
          <w:szCs w:val="24"/>
        </w:rPr>
        <w:t>para a</w:t>
      </w:r>
      <w:r w:rsidRPr="00980C8F">
        <w:rPr>
          <w:rFonts w:cs="Tahoma"/>
          <w:sz w:val="24"/>
          <w:szCs w:val="24"/>
        </w:rPr>
        <w:t xml:space="preserve"> lei</w:t>
      </w:r>
      <w:r>
        <w:rPr>
          <w:rFonts w:cs="Tahoma"/>
          <w:sz w:val="24"/>
          <w:szCs w:val="24"/>
        </w:rPr>
        <w:t>,</w:t>
      </w:r>
      <w:r w:rsidRPr="00980C8F">
        <w:rPr>
          <w:rFonts w:cs="Tahoma"/>
          <w:sz w:val="24"/>
          <w:szCs w:val="24"/>
        </w:rPr>
        <w:t xml:space="preserve"> que completa 13 anos neste mês</w:t>
      </w:r>
      <w:r w:rsidR="00475C16">
        <w:rPr>
          <w:rFonts w:cs="Tahoma"/>
          <w:sz w:val="24"/>
          <w:szCs w:val="24"/>
        </w:rPr>
        <w:t>.</w:t>
      </w:r>
      <w:r w:rsidRPr="00980C8F">
        <w:rPr>
          <w:rFonts w:cs="Tahoma"/>
          <w:sz w:val="24"/>
          <w:szCs w:val="24"/>
        </w:rPr>
        <w:t xml:space="preserve"> </w:t>
      </w:r>
    </w:p>
    <w:p w:rsidR="009C50C5" w:rsidRPr="00980C8F" w:rsidRDefault="001401A3" w:rsidP="00475C16">
      <w:pPr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Muitas </w:t>
      </w:r>
      <w:r w:rsidR="00475C16">
        <w:rPr>
          <w:rFonts w:cs="Tahoma"/>
          <w:sz w:val="24"/>
          <w:szCs w:val="24"/>
        </w:rPr>
        <w:t>mudanças, sendo algumas sugeridas</w:t>
      </w:r>
      <w:r w:rsidR="00592EF8" w:rsidRPr="00980C8F">
        <w:rPr>
          <w:rFonts w:cs="Tahoma"/>
          <w:sz w:val="24"/>
          <w:szCs w:val="24"/>
        </w:rPr>
        <w:t xml:space="preserve"> pelo Ministério da Fazenda, </w:t>
      </w:r>
      <w:r>
        <w:rPr>
          <w:rFonts w:cs="Tahoma"/>
          <w:sz w:val="24"/>
          <w:szCs w:val="24"/>
        </w:rPr>
        <w:t xml:space="preserve">provocam </w:t>
      </w:r>
      <w:r w:rsidR="00592EF8" w:rsidRPr="00980C8F">
        <w:rPr>
          <w:rFonts w:cs="Tahoma"/>
          <w:sz w:val="24"/>
          <w:szCs w:val="24"/>
        </w:rPr>
        <w:t>dúvidas se tornarão os processos mais eficientes e ágeis.</w:t>
      </w:r>
      <w:r w:rsidR="00475C16">
        <w:rPr>
          <w:rFonts w:cs="Tahoma"/>
          <w:sz w:val="24"/>
          <w:szCs w:val="24"/>
        </w:rPr>
        <w:t xml:space="preserve"> </w:t>
      </w:r>
      <w:r w:rsidR="009C50C5" w:rsidRPr="00980C8F">
        <w:rPr>
          <w:rFonts w:cs="Tahoma"/>
          <w:sz w:val="24"/>
          <w:szCs w:val="24"/>
        </w:rPr>
        <w:t xml:space="preserve">O projeto também prevê a abertura de varas especializadas em recuperação judicial no país. </w:t>
      </w:r>
      <w:r w:rsidR="009C50C5">
        <w:rPr>
          <w:rFonts w:cs="Tahoma"/>
          <w:sz w:val="24"/>
          <w:szCs w:val="24"/>
        </w:rPr>
        <w:t xml:space="preserve">A </w:t>
      </w:r>
      <w:r w:rsidR="009C50C5" w:rsidRPr="00980C8F">
        <w:rPr>
          <w:rFonts w:cs="Tahoma"/>
          <w:sz w:val="24"/>
          <w:szCs w:val="24"/>
        </w:rPr>
        <w:t>especialização tend</w:t>
      </w:r>
      <w:r w:rsidR="009C50C5">
        <w:rPr>
          <w:rFonts w:cs="Tahoma"/>
          <w:sz w:val="24"/>
          <w:szCs w:val="24"/>
        </w:rPr>
        <w:t>e a fazer</w:t>
      </w:r>
      <w:r w:rsidR="009C50C5" w:rsidRPr="00980C8F">
        <w:rPr>
          <w:rFonts w:cs="Tahoma"/>
          <w:sz w:val="24"/>
          <w:szCs w:val="24"/>
        </w:rPr>
        <w:t xml:space="preserve"> </w:t>
      </w:r>
      <w:r w:rsidR="009C50C5">
        <w:rPr>
          <w:rFonts w:cs="Tahoma"/>
          <w:sz w:val="24"/>
          <w:szCs w:val="24"/>
        </w:rPr>
        <w:t>que o</w:t>
      </w:r>
      <w:r w:rsidR="009C50C5" w:rsidRPr="00980C8F">
        <w:rPr>
          <w:rFonts w:cs="Tahoma"/>
          <w:sz w:val="24"/>
          <w:szCs w:val="24"/>
        </w:rPr>
        <w:t xml:space="preserve">s processos, </w:t>
      </w:r>
      <w:r w:rsidR="009C50C5">
        <w:rPr>
          <w:rFonts w:cs="Tahoma"/>
          <w:sz w:val="24"/>
          <w:szCs w:val="24"/>
        </w:rPr>
        <w:t xml:space="preserve">que têm </w:t>
      </w:r>
      <w:r w:rsidR="009C50C5" w:rsidRPr="00980C8F">
        <w:rPr>
          <w:rFonts w:cs="Tahoma"/>
          <w:sz w:val="24"/>
          <w:szCs w:val="24"/>
        </w:rPr>
        <w:t>certo grau de complexidade, avançam com mais chances de ser efetivos.</w:t>
      </w:r>
    </w:p>
    <w:p w:rsidR="001401A3" w:rsidRDefault="001401A3" w:rsidP="00592EF8">
      <w:pPr>
        <w:ind w:firstLine="708"/>
        <w:jc w:val="both"/>
        <w:rPr>
          <w:rFonts w:cs="Tahoma"/>
          <w:sz w:val="24"/>
          <w:szCs w:val="24"/>
        </w:rPr>
      </w:pPr>
    </w:p>
    <w:p w:rsidR="001401A3" w:rsidRPr="001401A3" w:rsidRDefault="001401A3" w:rsidP="00592EF8">
      <w:pPr>
        <w:ind w:firstLine="708"/>
        <w:jc w:val="both"/>
        <w:rPr>
          <w:rFonts w:cs="Tahoma"/>
          <w:b/>
          <w:sz w:val="24"/>
          <w:szCs w:val="24"/>
        </w:rPr>
      </w:pPr>
      <w:r w:rsidRPr="001401A3">
        <w:rPr>
          <w:rFonts w:cs="Tahoma"/>
          <w:b/>
          <w:sz w:val="24"/>
          <w:szCs w:val="24"/>
        </w:rPr>
        <w:t>Perícia prévia</w:t>
      </w:r>
    </w:p>
    <w:p w:rsidR="00592EF8" w:rsidRPr="00980C8F" w:rsidRDefault="005E2A27" w:rsidP="00592EF8">
      <w:pPr>
        <w:ind w:firstLine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Considerado um </w:t>
      </w:r>
      <w:r w:rsidR="00592EF8" w:rsidRPr="00980C8F">
        <w:rPr>
          <w:rFonts w:cs="Tahoma"/>
          <w:sz w:val="24"/>
          <w:szCs w:val="24"/>
        </w:rPr>
        <w:t xml:space="preserve">dos mais importantes especialistas em recuperação judicial no país, </w:t>
      </w:r>
      <w:r w:rsidR="00475C16">
        <w:rPr>
          <w:rFonts w:cs="Tahoma"/>
          <w:sz w:val="24"/>
          <w:szCs w:val="24"/>
        </w:rPr>
        <w:t>o juiz</w:t>
      </w:r>
      <w:r w:rsidR="00592EF8" w:rsidRPr="00980C8F">
        <w:rPr>
          <w:rFonts w:cs="Tahoma"/>
          <w:sz w:val="24"/>
          <w:szCs w:val="24"/>
        </w:rPr>
        <w:t xml:space="preserve"> implantou a perícia prévia na </w:t>
      </w:r>
      <w:r w:rsidR="00592EF8">
        <w:rPr>
          <w:rFonts w:cs="Tahoma"/>
          <w:sz w:val="24"/>
          <w:szCs w:val="24"/>
        </w:rPr>
        <w:t>v</w:t>
      </w:r>
      <w:r w:rsidR="00592EF8" w:rsidRPr="00980C8F">
        <w:rPr>
          <w:rFonts w:cs="Tahoma"/>
          <w:sz w:val="24"/>
          <w:szCs w:val="24"/>
        </w:rPr>
        <w:t xml:space="preserve">ara onde atua desde fevereiro de 2011. A finalidade </w:t>
      </w:r>
      <w:r w:rsidR="001401A3">
        <w:rPr>
          <w:rFonts w:cs="Tahoma"/>
          <w:sz w:val="24"/>
          <w:szCs w:val="24"/>
        </w:rPr>
        <w:t>era</w:t>
      </w:r>
      <w:r w:rsidR="00592EF8" w:rsidRPr="00980C8F">
        <w:rPr>
          <w:rFonts w:cs="Tahoma"/>
          <w:sz w:val="24"/>
          <w:szCs w:val="24"/>
        </w:rPr>
        <w:t xml:space="preserve"> obter uma constatação preliminar, feita por profissional com conhecimento técnico, para abastecer o juiz com informações adequadas antes de decidir pela recuperação judicial.</w:t>
      </w:r>
    </w:p>
    <w:p w:rsidR="005E2A27" w:rsidRDefault="005E2A27" w:rsidP="005E2A27">
      <w:pPr>
        <w:ind w:firstLine="708"/>
        <w:jc w:val="both"/>
        <w:rPr>
          <w:rFonts w:cs="Tahoma"/>
          <w:sz w:val="24"/>
          <w:szCs w:val="24"/>
        </w:rPr>
      </w:pPr>
      <w:r w:rsidRPr="00980C8F">
        <w:rPr>
          <w:rFonts w:cs="Tahoma"/>
          <w:sz w:val="24"/>
          <w:szCs w:val="24"/>
        </w:rPr>
        <w:t xml:space="preserve">Muito em razão da adoção </w:t>
      </w:r>
      <w:r w:rsidR="001401A3">
        <w:rPr>
          <w:rFonts w:cs="Tahoma"/>
          <w:sz w:val="24"/>
          <w:szCs w:val="24"/>
        </w:rPr>
        <w:t>dessa prática</w:t>
      </w:r>
      <w:r w:rsidRPr="00980C8F">
        <w:rPr>
          <w:rFonts w:cs="Tahoma"/>
          <w:sz w:val="24"/>
          <w:szCs w:val="24"/>
        </w:rPr>
        <w:t>, o índice de sucesso em recuperações judiciais na 1</w:t>
      </w:r>
      <w:r>
        <w:rPr>
          <w:rFonts w:cs="Tahoma"/>
          <w:sz w:val="24"/>
          <w:szCs w:val="24"/>
        </w:rPr>
        <w:t>ª</w:t>
      </w:r>
      <w:r w:rsidRPr="00980C8F">
        <w:rPr>
          <w:rFonts w:cs="Tahoma"/>
          <w:sz w:val="24"/>
          <w:szCs w:val="24"/>
        </w:rPr>
        <w:t xml:space="preserve"> Vara de Falência</w:t>
      </w:r>
      <w:r>
        <w:rPr>
          <w:rFonts w:cs="Tahoma"/>
          <w:sz w:val="24"/>
          <w:szCs w:val="24"/>
        </w:rPr>
        <w:t>s</w:t>
      </w:r>
      <w:r w:rsidRPr="00980C8F">
        <w:rPr>
          <w:rFonts w:cs="Tahoma"/>
          <w:sz w:val="24"/>
          <w:szCs w:val="24"/>
        </w:rPr>
        <w:t xml:space="preserve"> paulista supera a média nacional. Entre 2011 e janeiro de 2018, chegou a 81,7%. A média brasileira é de 23%. </w:t>
      </w:r>
    </w:p>
    <w:p w:rsidR="00980C8F" w:rsidRPr="00980C8F" w:rsidRDefault="00980C8F" w:rsidP="00980C8F">
      <w:pPr>
        <w:ind w:firstLine="708"/>
        <w:jc w:val="both"/>
        <w:rPr>
          <w:rFonts w:cs="Tahoma"/>
          <w:sz w:val="24"/>
          <w:szCs w:val="24"/>
        </w:rPr>
      </w:pPr>
      <w:r w:rsidRPr="00980C8F">
        <w:rPr>
          <w:rFonts w:cs="Tahoma"/>
          <w:sz w:val="24"/>
          <w:szCs w:val="24"/>
        </w:rPr>
        <w:t xml:space="preserve">A perícia prévia não é uma auditoria na empresa devedora, </w:t>
      </w:r>
      <w:r w:rsidR="001401A3">
        <w:rPr>
          <w:rFonts w:cs="Tahoma"/>
          <w:sz w:val="24"/>
          <w:szCs w:val="24"/>
        </w:rPr>
        <w:t xml:space="preserve">tampouco analisa a </w:t>
      </w:r>
      <w:r w:rsidRPr="00980C8F">
        <w:rPr>
          <w:rFonts w:cs="Tahoma"/>
          <w:sz w:val="24"/>
          <w:szCs w:val="24"/>
        </w:rPr>
        <w:t>viabilidade do negócio. O levantamento serve para dete</w:t>
      </w:r>
      <w:r w:rsidR="00592EF8">
        <w:rPr>
          <w:rFonts w:cs="Tahoma"/>
          <w:sz w:val="24"/>
          <w:szCs w:val="24"/>
        </w:rPr>
        <w:t>ctar irregularidades ou fraudes –</w:t>
      </w:r>
      <w:r w:rsidRPr="00980C8F">
        <w:rPr>
          <w:rFonts w:cs="Tahoma"/>
          <w:sz w:val="24"/>
          <w:szCs w:val="24"/>
        </w:rPr>
        <w:t xml:space="preserve"> </w:t>
      </w:r>
      <w:r w:rsidR="00592EF8">
        <w:rPr>
          <w:rFonts w:cs="Tahoma"/>
          <w:sz w:val="24"/>
          <w:szCs w:val="24"/>
        </w:rPr>
        <w:t xml:space="preserve">ajudando a </w:t>
      </w:r>
      <w:r w:rsidRPr="00980C8F">
        <w:rPr>
          <w:rFonts w:cs="Tahoma"/>
          <w:sz w:val="24"/>
          <w:szCs w:val="24"/>
        </w:rPr>
        <w:t xml:space="preserve">evitar a imposição aos credores </w:t>
      </w:r>
      <w:r w:rsidR="00592EF8">
        <w:rPr>
          <w:rFonts w:cs="Tahoma"/>
          <w:sz w:val="24"/>
          <w:szCs w:val="24"/>
        </w:rPr>
        <w:t xml:space="preserve">de </w:t>
      </w:r>
      <w:r w:rsidRPr="00980C8F">
        <w:rPr>
          <w:rFonts w:cs="Tahoma"/>
          <w:sz w:val="24"/>
          <w:szCs w:val="24"/>
        </w:rPr>
        <w:t>uma negociação que não terá contraprestação de interesse público ou social.</w:t>
      </w:r>
    </w:p>
    <w:p w:rsidR="00980C8F" w:rsidRPr="00980C8F" w:rsidRDefault="00980C8F" w:rsidP="00980C8F">
      <w:pPr>
        <w:ind w:firstLine="708"/>
        <w:jc w:val="both"/>
        <w:rPr>
          <w:rFonts w:cs="Tahoma"/>
          <w:sz w:val="24"/>
          <w:szCs w:val="24"/>
        </w:rPr>
      </w:pPr>
      <w:r w:rsidRPr="00980C8F">
        <w:rPr>
          <w:rFonts w:cs="Tahoma"/>
          <w:sz w:val="24"/>
          <w:szCs w:val="24"/>
        </w:rPr>
        <w:lastRenderedPageBreak/>
        <w:t>No recente pedido de recuperação da loteadora Urbplan, em São Paulo, com dívidas de R$ 1,3 bilhão, o juiz Daniel Costa determinou a perícia prévia, "para que o instrumento legal da recuperação seja utilizado de maneira correta, cumprindo sua função social, sem a imposição desarrazoada de ônus e prejuízos à comunidade de credores”. Também passaram pela 1ª Vara recuperações com passivos bilionários como da gaúcha L</w:t>
      </w:r>
      <w:r w:rsidR="001401A3">
        <w:rPr>
          <w:rFonts w:cs="Tahoma"/>
          <w:sz w:val="24"/>
          <w:szCs w:val="24"/>
        </w:rPr>
        <w:t>upatech, LBR, Inepar e Enterpa.</w:t>
      </w:r>
    </w:p>
    <w:p w:rsidR="00980C8F" w:rsidRDefault="00980C8F" w:rsidP="00980C8F">
      <w:pPr>
        <w:jc w:val="both"/>
        <w:rPr>
          <w:rFonts w:cs="Tahoma"/>
          <w:sz w:val="24"/>
          <w:szCs w:val="24"/>
        </w:rPr>
      </w:pPr>
    </w:p>
    <w:p w:rsidR="00AF4244" w:rsidRPr="00AF4244" w:rsidRDefault="00B85E9E" w:rsidP="00980C8F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SERVIÇO</w:t>
      </w:r>
    </w:p>
    <w:p w:rsidR="00980C8F" w:rsidRPr="00980C8F" w:rsidRDefault="00980C8F" w:rsidP="00980C8F">
      <w:pPr>
        <w:spacing w:after="0"/>
        <w:jc w:val="both"/>
        <w:rPr>
          <w:rFonts w:cs="Tahoma"/>
          <w:sz w:val="24"/>
          <w:szCs w:val="24"/>
        </w:rPr>
      </w:pPr>
      <w:r w:rsidRPr="00980C8F">
        <w:rPr>
          <w:rFonts w:cs="Tahoma"/>
          <w:b/>
          <w:sz w:val="24"/>
          <w:szCs w:val="24"/>
        </w:rPr>
        <w:t>Palestrante:</w:t>
      </w:r>
      <w:r w:rsidRPr="00980C8F">
        <w:rPr>
          <w:rFonts w:cs="Tahoma"/>
          <w:sz w:val="24"/>
          <w:szCs w:val="24"/>
        </w:rPr>
        <w:t xml:space="preserve"> juiz Daniel Carnio Costa, titular da 1ª Vara de Falências e Recuperação Judicial de São Paulo</w:t>
      </w:r>
    </w:p>
    <w:p w:rsidR="00980C8F" w:rsidRPr="00980C8F" w:rsidRDefault="00980C8F" w:rsidP="00980C8F">
      <w:pPr>
        <w:spacing w:after="0"/>
        <w:jc w:val="both"/>
        <w:rPr>
          <w:rFonts w:cs="Tahoma"/>
          <w:sz w:val="24"/>
          <w:szCs w:val="24"/>
        </w:rPr>
      </w:pPr>
      <w:r w:rsidRPr="00980C8F">
        <w:rPr>
          <w:rFonts w:cs="Tahoma"/>
          <w:b/>
          <w:sz w:val="24"/>
          <w:szCs w:val="24"/>
        </w:rPr>
        <w:t>Tema:</w:t>
      </w:r>
      <w:r w:rsidRPr="00980C8F">
        <w:rPr>
          <w:rFonts w:cs="Tahoma"/>
          <w:sz w:val="24"/>
          <w:szCs w:val="24"/>
        </w:rPr>
        <w:t xml:space="preserve"> A recuperação judicial sob o viés do investidor, perícia prévia e o futuro da lei da </w:t>
      </w:r>
      <w:r w:rsidR="00B85E9E">
        <w:rPr>
          <w:rFonts w:cs="Tahoma"/>
          <w:sz w:val="24"/>
          <w:szCs w:val="24"/>
        </w:rPr>
        <w:t>r</w:t>
      </w:r>
      <w:r w:rsidRPr="00980C8F">
        <w:rPr>
          <w:rFonts w:cs="Tahoma"/>
          <w:sz w:val="24"/>
          <w:szCs w:val="24"/>
        </w:rPr>
        <w:t xml:space="preserve">ecuperação </w:t>
      </w:r>
      <w:r w:rsidR="00B85E9E">
        <w:rPr>
          <w:rFonts w:cs="Tahoma"/>
          <w:sz w:val="24"/>
          <w:szCs w:val="24"/>
        </w:rPr>
        <w:t>j</w:t>
      </w:r>
      <w:r w:rsidRPr="00980C8F">
        <w:rPr>
          <w:rFonts w:cs="Tahoma"/>
          <w:sz w:val="24"/>
          <w:szCs w:val="24"/>
        </w:rPr>
        <w:t>udicial</w:t>
      </w:r>
    </w:p>
    <w:p w:rsidR="00980C8F" w:rsidRPr="00980C8F" w:rsidRDefault="00980C8F" w:rsidP="00980C8F">
      <w:pPr>
        <w:spacing w:after="0"/>
        <w:jc w:val="both"/>
        <w:rPr>
          <w:rFonts w:cs="Tahoma"/>
          <w:sz w:val="24"/>
          <w:szCs w:val="24"/>
        </w:rPr>
      </w:pPr>
      <w:r w:rsidRPr="00980C8F">
        <w:rPr>
          <w:rFonts w:cs="Tahoma"/>
          <w:b/>
          <w:sz w:val="24"/>
          <w:szCs w:val="24"/>
        </w:rPr>
        <w:t>Data:</w:t>
      </w:r>
      <w:r w:rsidRPr="00980C8F">
        <w:rPr>
          <w:rFonts w:cs="Tahoma"/>
          <w:sz w:val="24"/>
          <w:szCs w:val="24"/>
        </w:rPr>
        <w:t xml:space="preserve"> 27 de junho, das 8:30 às 11:30</w:t>
      </w:r>
    </w:p>
    <w:p w:rsidR="00980C8F" w:rsidRPr="00980C8F" w:rsidRDefault="00980C8F" w:rsidP="00980C8F">
      <w:pPr>
        <w:spacing w:after="0"/>
        <w:jc w:val="both"/>
        <w:rPr>
          <w:rFonts w:cs="Tahoma"/>
          <w:sz w:val="24"/>
          <w:szCs w:val="24"/>
        </w:rPr>
      </w:pPr>
      <w:r w:rsidRPr="00980C8F">
        <w:rPr>
          <w:rFonts w:cs="Tahoma"/>
          <w:b/>
          <w:sz w:val="24"/>
          <w:szCs w:val="24"/>
        </w:rPr>
        <w:t>Local:</w:t>
      </w:r>
      <w:r w:rsidRPr="00980C8F">
        <w:rPr>
          <w:rFonts w:cs="Tahoma"/>
          <w:sz w:val="24"/>
          <w:szCs w:val="24"/>
        </w:rPr>
        <w:t xml:space="preserve"> Novotel Aeroporto (Av. Severo </w:t>
      </w:r>
      <w:proofErr w:type="spellStart"/>
      <w:r w:rsidRPr="00980C8F">
        <w:rPr>
          <w:rFonts w:cs="Tahoma"/>
          <w:sz w:val="24"/>
          <w:szCs w:val="24"/>
        </w:rPr>
        <w:t>Dullius</w:t>
      </w:r>
      <w:proofErr w:type="spellEnd"/>
      <w:r w:rsidRPr="00980C8F">
        <w:rPr>
          <w:rFonts w:cs="Tahoma"/>
          <w:sz w:val="24"/>
          <w:szCs w:val="24"/>
        </w:rPr>
        <w:t>, 2.055), Porto Alegre</w:t>
      </w:r>
      <w:r w:rsidR="00B85E9E">
        <w:rPr>
          <w:rFonts w:cs="Tahoma"/>
          <w:sz w:val="24"/>
          <w:szCs w:val="24"/>
        </w:rPr>
        <w:t>/RS</w:t>
      </w:r>
    </w:p>
    <w:p w:rsidR="00E84493" w:rsidRDefault="00B85E9E" w:rsidP="00980C8F">
      <w:pPr>
        <w:spacing w:after="0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Inscrições</w:t>
      </w:r>
      <w:r w:rsidR="00980C8F" w:rsidRPr="00980C8F">
        <w:rPr>
          <w:rFonts w:cs="Tahoma"/>
          <w:b/>
          <w:sz w:val="24"/>
          <w:szCs w:val="24"/>
        </w:rPr>
        <w:t>:</w:t>
      </w:r>
      <w:r w:rsidR="00980C8F" w:rsidRPr="00980C8F">
        <w:rPr>
          <w:rFonts w:cs="Tahoma"/>
          <w:sz w:val="24"/>
          <w:szCs w:val="24"/>
        </w:rPr>
        <w:t xml:space="preserve"> </w:t>
      </w:r>
      <w:hyperlink r:id="rId7" w:history="1">
        <w:r w:rsidR="001401A3" w:rsidRPr="00463B22">
          <w:rPr>
            <w:rStyle w:val="Hyperlink"/>
            <w:rFonts w:cs="Tahoma"/>
            <w:sz w:val="24"/>
            <w:szCs w:val="24"/>
          </w:rPr>
          <w:t>eventos@sinfacrs.com.br</w:t>
        </w:r>
      </w:hyperlink>
    </w:p>
    <w:sectPr w:rsidR="00E84493" w:rsidSect="00244214">
      <w:headerReference w:type="default" r:id="rId8"/>
      <w:footerReference w:type="default" r:id="rId9"/>
      <w:pgSz w:w="11906" w:h="16838"/>
      <w:pgMar w:top="8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03" w:rsidRDefault="002D1C03">
      <w:pPr>
        <w:spacing w:after="0" w:line="240" w:lineRule="auto"/>
      </w:pPr>
      <w:r>
        <w:separator/>
      </w:r>
    </w:p>
  </w:endnote>
  <w:endnote w:type="continuationSeparator" w:id="0">
    <w:p w:rsidR="002D1C03" w:rsidRDefault="002D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24"/>
      <w:gridCol w:w="872"/>
      <w:gridCol w:w="3924"/>
    </w:tblGrid>
    <w:tr w:rsidR="0002276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2276F" w:rsidRDefault="0002276F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2276F" w:rsidRPr="003C1124" w:rsidRDefault="0002276F">
          <w:pPr>
            <w:pStyle w:val="SemEspaamento"/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2276F" w:rsidRDefault="0002276F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2276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2276F" w:rsidRDefault="0002276F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2276F" w:rsidRDefault="0002276F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2276F" w:rsidRDefault="0002276F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2276F" w:rsidRDefault="000227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03" w:rsidRDefault="002D1C03">
      <w:pPr>
        <w:spacing w:after="0" w:line="240" w:lineRule="auto"/>
      </w:pPr>
      <w:r>
        <w:separator/>
      </w:r>
    </w:p>
  </w:footnote>
  <w:footnote w:type="continuationSeparator" w:id="0">
    <w:p w:rsidR="002D1C03" w:rsidRDefault="002D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A" w:rsidRDefault="00330F54" w:rsidP="00330F54">
    <w:pPr>
      <w:pStyle w:val="Cabealho"/>
    </w:pPr>
    <w:r>
      <w:rPr>
        <w:noProof/>
      </w:rPr>
      <w:drawing>
        <wp:inline distT="0" distB="0" distL="0" distR="0">
          <wp:extent cx="1095375" cy="652749"/>
          <wp:effectExtent l="0" t="0" r="0" b="0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alzilli_nova fonte aprovada_Marca princip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9" t="13640" r="7825" b="11211"/>
                  <a:stretch/>
                </pic:blipFill>
                <pic:spPr bwMode="auto">
                  <a:xfrm>
                    <a:off x="0" y="0"/>
                    <a:ext cx="1128661" cy="6725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737FA">
      <w:tab/>
    </w:r>
    <w:r w:rsidR="007737FA">
      <w:tab/>
    </w:r>
    <w:r w:rsidR="007737FA">
      <w:rPr>
        <w:noProof/>
      </w:rPr>
      <w:drawing>
        <wp:inline distT="0" distB="0" distL="0" distR="0" wp14:anchorId="5E3B26BE" wp14:editId="1E4A3791">
          <wp:extent cx="1009650" cy="651510"/>
          <wp:effectExtent l="0" t="0" r="0" b="0"/>
          <wp:docPr id="96" name="Imagem 2" descr="C:\Users\BENVEGNU\Pictures\Critéri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VEGNU\Pictures\Critério 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79" r="9843" b="26829"/>
                  <a:stretch/>
                </pic:blipFill>
                <pic:spPr bwMode="auto">
                  <a:xfrm>
                    <a:off x="0" y="0"/>
                    <a:ext cx="1021121" cy="658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276F" w:rsidRPr="007737FA" w:rsidRDefault="0002276F" w:rsidP="007737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0A2F"/>
    <w:multiLevelType w:val="hybridMultilevel"/>
    <w:tmpl w:val="9AB0FF1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56315E"/>
    <w:multiLevelType w:val="hybridMultilevel"/>
    <w:tmpl w:val="475014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457DED"/>
    <w:multiLevelType w:val="hybridMultilevel"/>
    <w:tmpl w:val="5EC881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AF455B"/>
    <w:multiLevelType w:val="hybridMultilevel"/>
    <w:tmpl w:val="1396AC68"/>
    <w:lvl w:ilvl="0" w:tplc="D7E650F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6A"/>
    <w:rsid w:val="00017AC6"/>
    <w:rsid w:val="0002276F"/>
    <w:rsid w:val="00030F36"/>
    <w:rsid w:val="000312E1"/>
    <w:rsid w:val="000439DB"/>
    <w:rsid w:val="00045D80"/>
    <w:rsid w:val="00050EB3"/>
    <w:rsid w:val="000534F1"/>
    <w:rsid w:val="00060FD9"/>
    <w:rsid w:val="00064D29"/>
    <w:rsid w:val="0007364B"/>
    <w:rsid w:val="000749FD"/>
    <w:rsid w:val="00076A2B"/>
    <w:rsid w:val="00083C75"/>
    <w:rsid w:val="00091ECC"/>
    <w:rsid w:val="00092298"/>
    <w:rsid w:val="00092DCB"/>
    <w:rsid w:val="00095F62"/>
    <w:rsid w:val="000B1A6E"/>
    <w:rsid w:val="000C3D6C"/>
    <w:rsid w:val="000C6BC5"/>
    <w:rsid w:val="000D29C1"/>
    <w:rsid w:val="000D6663"/>
    <w:rsid w:val="000E6923"/>
    <w:rsid w:val="000E73E5"/>
    <w:rsid w:val="000F0FD2"/>
    <w:rsid w:val="000F7349"/>
    <w:rsid w:val="00102D29"/>
    <w:rsid w:val="0011707F"/>
    <w:rsid w:val="001212B6"/>
    <w:rsid w:val="00126465"/>
    <w:rsid w:val="00127A09"/>
    <w:rsid w:val="00133F79"/>
    <w:rsid w:val="00134736"/>
    <w:rsid w:val="00136ECB"/>
    <w:rsid w:val="001401A3"/>
    <w:rsid w:val="00141F97"/>
    <w:rsid w:val="00151994"/>
    <w:rsid w:val="00151EE7"/>
    <w:rsid w:val="00155820"/>
    <w:rsid w:val="001606B6"/>
    <w:rsid w:val="00164CC6"/>
    <w:rsid w:val="0017183E"/>
    <w:rsid w:val="00177363"/>
    <w:rsid w:val="001A2F4E"/>
    <w:rsid w:val="001A704B"/>
    <w:rsid w:val="001B4C1B"/>
    <w:rsid w:val="001D1D4E"/>
    <w:rsid w:val="001D1ECD"/>
    <w:rsid w:val="001D6A39"/>
    <w:rsid w:val="001E0CF2"/>
    <w:rsid w:val="001F116A"/>
    <w:rsid w:val="001F1652"/>
    <w:rsid w:val="001F2EAC"/>
    <w:rsid w:val="001F7DDE"/>
    <w:rsid w:val="00201F3F"/>
    <w:rsid w:val="00207398"/>
    <w:rsid w:val="00213E3F"/>
    <w:rsid w:val="00214E86"/>
    <w:rsid w:val="002241D9"/>
    <w:rsid w:val="00225F4B"/>
    <w:rsid w:val="00226126"/>
    <w:rsid w:val="00231959"/>
    <w:rsid w:val="00232F0B"/>
    <w:rsid w:val="002440FB"/>
    <w:rsid w:val="00244214"/>
    <w:rsid w:val="00247A1D"/>
    <w:rsid w:val="00252B50"/>
    <w:rsid w:val="00254EC9"/>
    <w:rsid w:val="00255BDB"/>
    <w:rsid w:val="00257357"/>
    <w:rsid w:val="00257629"/>
    <w:rsid w:val="00262AC0"/>
    <w:rsid w:val="00263539"/>
    <w:rsid w:val="0026455E"/>
    <w:rsid w:val="00273526"/>
    <w:rsid w:val="00280486"/>
    <w:rsid w:val="00290642"/>
    <w:rsid w:val="00297091"/>
    <w:rsid w:val="002A78B8"/>
    <w:rsid w:val="002B2D30"/>
    <w:rsid w:val="002B3EDC"/>
    <w:rsid w:val="002B4D4B"/>
    <w:rsid w:val="002B5BD8"/>
    <w:rsid w:val="002C37E7"/>
    <w:rsid w:val="002D1C03"/>
    <w:rsid w:val="002D3184"/>
    <w:rsid w:val="002D5D32"/>
    <w:rsid w:val="002D75DB"/>
    <w:rsid w:val="00320913"/>
    <w:rsid w:val="00322FD0"/>
    <w:rsid w:val="00330F54"/>
    <w:rsid w:val="00334E63"/>
    <w:rsid w:val="00334E81"/>
    <w:rsid w:val="00340851"/>
    <w:rsid w:val="00347DBA"/>
    <w:rsid w:val="003523AA"/>
    <w:rsid w:val="00355896"/>
    <w:rsid w:val="00356DC4"/>
    <w:rsid w:val="00357DFA"/>
    <w:rsid w:val="00360156"/>
    <w:rsid w:val="003610F6"/>
    <w:rsid w:val="00363A40"/>
    <w:rsid w:val="003902FE"/>
    <w:rsid w:val="0039351D"/>
    <w:rsid w:val="003A3D5E"/>
    <w:rsid w:val="003C00CE"/>
    <w:rsid w:val="003C3860"/>
    <w:rsid w:val="003C581A"/>
    <w:rsid w:val="003C72CC"/>
    <w:rsid w:val="003D3CBF"/>
    <w:rsid w:val="003E4D41"/>
    <w:rsid w:val="003F2614"/>
    <w:rsid w:val="003F695B"/>
    <w:rsid w:val="003F7100"/>
    <w:rsid w:val="00403CB8"/>
    <w:rsid w:val="00404D0D"/>
    <w:rsid w:val="00405BF2"/>
    <w:rsid w:val="00405FE2"/>
    <w:rsid w:val="004158A7"/>
    <w:rsid w:val="00426170"/>
    <w:rsid w:val="0043254D"/>
    <w:rsid w:val="004340E0"/>
    <w:rsid w:val="00434533"/>
    <w:rsid w:val="00441091"/>
    <w:rsid w:val="004428C3"/>
    <w:rsid w:val="00445D7C"/>
    <w:rsid w:val="004477F4"/>
    <w:rsid w:val="004558AD"/>
    <w:rsid w:val="004606EC"/>
    <w:rsid w:val="004615ED"/>
    <w:rsid w:val="00471D0F"/>
    <w:rsid w:val="00471D78"/>
    <w:rsid w:val="00472B9C"/>
    <w:rsid w:val="00475C16"/>
    <w:rsid w:val="004861EF"/>
    <w:rsid w:val="004957D4"/>
    <w:rsid w:val="004A0B0B"/>
    <w:rsid w:val="004A1F98"/>
    <w:rsid w:val="004A4028"/>
    <w:rsid w:val="004B4CC6"/>
    <w:rsid w:val="004B5578"/>
    <w:rsid w:val="004C6541"/>
    <w:rsid w:val="004D24B3"/>
    <w:rsid w:val="004E7B73"/>
    <w:rsid w:val="004F4F67"/>
    <w:rsid w:val="005069BC"/>
    <w:rsid w:val="00507BFE"/>
    <w:rsid w:val="00515D4B"/>
    <w:rsid w:val="00515FD4"/>
    <w:rsid w:val="00521C0B"/>
    <w:rsid w:val="00541253"/>
    <w:rsid w:val="00543E17"/>
    <w:rsid w:val="00543E4D"/>
    <w:rsid w:val="00551CF7"/>
    <w:rsid w:val="00554660"/>
    <w:rsid w:val="00555A8B"/>
    <w:rsid w:val="0056496B"/>
    <w:rsid w:val="00564EBC"/>
    <w:rsid w:val="00570197"/>
    <w:rsid w:val="0058232F"/>
    <w:rsid w:val="00592EF8"/>
    <w:rsid w:val="00595780"/>
    <w:rsid w:val="005965D4"/>
    <w:rsid w:val="005A2B7A"/>
    <w:rsid w:val="005A6033"/>
    <w:rsid w:val="005A61F4"/>
    <w:rsid w:val="005B4D7D"/>
    <w:rsid w:val="005B6220"/>
    <w:rsid w:val="005B6A8C"/>
    <w:rsid w:val="005C7069"/>
    <w:rsid w:val="005D1908"/>
    <w:rsid w:val="005D51EC"/>
    <w:rsid w:val="005E18DE"/>
    <w:rsid w:val="005E2A27"/>
    <w:rsid w:val="005E35AB"/>
    <w:rsid w:val="005E5BE8"/>
    <w:rsid w:val="005F16CA"/>
    <w:rsid w:val="005F4F29"/>
    <w:rsid w:val="00600501"/>
    <w:rsid w:val="00613CCD"/>
    <w:rsid w:val="00624A2B"/>
    <w:rsid w:val="00624C99"/>
    <w:rsid w:val="00625D02"/>
    <w:rsid w:val="0063215D"/>
    <w:rsid w:val="006449AB"/>
    <w:rsid w:val="0065168F"/>
    <w:rsid w:val="00653B67"/>
    <w:rsid w:val="00654A1F"/>
    <w:rsid w:val="00665CEB"/>
    <w:rsid w:val="00673A85"/>
    <w:rsid w:val="006917A5"/>
    <w:rsid w:val="006932D1"/>
    <w:rsid w:val="00695C38"/>
    <w:rsid w:val="00696039"/>
    <w:rsid w:val="006A5E51"/>
    <w:rsid w:val="006B04B0"/>
    <w:rsid w:val="006B293A"/>
    <w:rsid w:val="006B4A3E"/>
    <w:rsid w:val="006D479C"/>
    <w:rsid w:val="006D62DC"/>
    <w:rsid w:val="006D68DA"/>
    <w:rsid w:val="006E1EE0"/>
    <w:rsid w:val="00702483"/>
    <w:rsid w:val="007058FE"/>
    <w:rsid w:val="007400EA"/>
    <w:rsid w:val="0074501D"/>
    <w:rsid w:val="007566FD"/>
    <w:rsid w:val="00757BDF"/>
    <w:rsid w:val="00760079"/>
    <w:rsid w:val="0076109E"/>
    <w:rsid w:val="00766FF1"/>
    <w:rsid w:val="00767FEB"/>
    <w:rsid w:val="007737FA"/>
    <w:rsid w:val="00784411"/>
    <w:rsid w:val="00786D00"/>
    <w:rsid w:val="0079363C"/>
    <w:rsid w:val="00795B91"/>
    <w:rsid w:val="007A2C6B"/>
    <w:rsid w:val="007C02BE"/>
    <w:rsid w:val="007C5716"/>
    <w:rsid w:val="007D2D64"/>
    <w:rsid w:val="007D5E5A"/>
    <w:rsid w:val="007D7474"/>
    <w:rsid w:val="007E07CB"/>
    <w:rsid w:val="007E0B43"/>
    <w:rsid w:val="007F0D9F"/>
    <w:rsid w:val="0080454F"/>
    <w:rsid w:val="00814917"/>
    <w:rsid w:val="0082286E"/>
    <w:rsid w:val="00824855"/>
    <w:rsid w:val="00824F08"/>
    <w:rsid w:val="0083021B"/>
    <w:rsid w:val="00831A83"/>
    <w:rsid w:val="0083478F"/>
    <w:rsid w:val="00834C6E"/>
    <w:rsid w:val="00836A65"/>
    <w:rsid w:val="0084059D"/>
    <w:rsid w:val="00840FE2"/>
    <w:rsid w:val="00847C0F"/>
    <w:rsid w:val="00853009"/>
    <w:rsid w:val="00870FE1"/>
    <w:rsid w:val="0087120C"/>
    <w:rsid w:val="00875763"/>
    <w:rsid w:val="00880026"/>
    <w:rsid w:val="00886DAB"/>
    <w:rsid w:val="0089258A"/>
    <w:rsid w:val="008947D2"/>
    <w:rsid w:val="008A1566"/>
    <w:rsid w:val="008B0D0A"/>
    <w:rsid w:val="008B6C2B"/>
    <w:rsid w:val="008C3F31"/>
    <w:rsid w:val="008C642B"/>
    <w:rsid w:val="008D080A"/>
    <w:rsid w:val="008D0929"/>
    <w:rsid w:val="008D36F5"/>
    <w:rsid w:val="008D6F50"/>
    <w:rsid w:val="008F207B"/>
    <w:rsid w:val="008F3AE0"/>
    <w:rsid w:val="00901329"/>
    <w:rsid w:val="00901478"/>
    <w:rsid w:val="0090234A"/>
    <w:rsid w:val="00903EEE"/>
    <w:rsid w:val="009070A3"/>
    <w:rsid w:val="009106E6"/>
    <w:rsid w:val="00911E31"/>
    <w:rsid w:val="00917807"/>
    <w:rsid w:val="0094437E"/>
    <w:rsid w:val="00945411"/>
    <w:rsid w:val="00947FCB"/>
    <w:rsid w:val="00954C92"/>
    <w:rsid w:val="00954E3C"/>
    <w:rsid w:val="009763EE"/>
    <w:rsid w:val="00980C8F"/>
    <w:rsid w:val="00981CBA"/>
    <w:rsid w:val="00994AA0"/>
    <w:rsid w:val="009A4E67"/>
    <w:rsid w:val="009A5C5B"/>
    <w:rsid w:val="009A6E3A"/>
    <w:rsid w:val="009B121C"/>
    <w:rsid w:val="009B12BE"/>
    <w:rsid w:val="009C1C9C"/>
    <w:rsid w:val="009C2BAB"/>
    <w:rsid w:val="009C50C5"/>
    <w:rsid w:val="009D0085"/>
    <w:rsid w:val="009D18C1"/>
    <w:rsid w:val="009D508B"/>
    <w:rsid w:val="009D5338"/>
    <w:rsid w:val="009D69E4"/>
    <w:rsid w:val="009E2D3B"/>
    <w:rsid w:val="009F50D9"/>
    <w:rsid w:val="00A0223C"/>
    <w:rsid w:val="00A0380E"/>
    <w:rsid w:val="00A11995"/>
    <w:rsid w:val="00A12B60"/>
    <w:rsid w:val="00A143BF"/>
    <w:rsid w:val="00A2422D"/>
    <w:rsid w:val="00A26151"/>
    <w:rsid w:val="00A30884"/>
    <w:rsid w:val="00A414E5"/>
    <w:rsid w:val="00A5405D"/>
    <w:rsid w:val="00A57FC0"/>
    <w:rsid w:val="00A62805"/>
    <w:rsid w:val="00A6540E"/>
    <w:rsid w:val="00A7610B"/>
    <w:rsid w:val="00A768A3"/>
    <w:rsid w:val="00A77E1F"/>
    <w:rsid w:val="00A82ACB"/>
    <w:rsid w:val="00A837F5"/>
    <w:rsid w:val="00A8450F"/>
    <w:rsid w:val="00A95793"/>
    <w:rsid w:val="00AA1985"/>
    <w:rsid w:val="00AA1E11"/>
    <w:rsid w:val="00AB12E4"/>
    <w:rsid w:val="00AB33E2"/>
    <w:rsid w:val="00AB4A50"/>
    <w:rsid w:val="00AC3648"/>
    <w:rsid w:val="00AC3D5E"/>
    <w:rsid w:val="00AC45D0"/>
    <w:rsid w:val="00AD48F6"/>
    <w:rsid w:val="00AD71CF"/>
    <w:rsid w:val="00AE0294"/>
    <w:rsid w:val="00AF2DFB"/>
    <w:rsid w:val="00AF4244"/>
    <w:rsid w:val="00B02074"/>
    <w:rsid w:val="00B036D4"/>
    <w:rsid w:val="00B20CD4"/>
    <w:rsid w:val="00B2565E"/>
    <w:rsid w:val="00B32027"/>
    <w:rsid w:val="00B33E52"/>
    <w:rsid w:val="00B345F1"/>
    <w:rsid w:val="00B354BC"/>
    <w:rsid w:val="00B374D9"/>
    <w:rsid w:val="00B40DF7"/>
    <w:rsid w:val="00B41DB3"/>
    <w:rsid w:val="00B50917"/>
    <w:rsid w:val="00B5333E"/>
    <w:rsid w:val="00B666D1"/>
    <w:rsid w:val="00B707FC"/>
    <w:rsid w:val="00B81873"/>
    <w:rsid w:val="00B8546A"/>
    <w:rsid w:val="00B855B6"/>
    <w:rsid w:val="00B85E9E"/>
    <w:rsid w:val="00B950F6"/>
    <w:rsid w:val="00B97B1D"/>
    <w:rsid w:val="00BA1FA0"/>
    <w:rsid w:val="00BA33E5"/>
    <w:rsid w:val="00BB1AE0"/>
    <w:rsid w:val="00BB5EFD"/>
    <w:rsid w:val="00BB7095"/>
    <w:rsid w:val="00BC0639"/>
    <w:rsid w:val="00BC2215"/>
    <w:rsid w:val="00BD41D3"/>
    <w:rsid w:val="00BE27E6"/>
    <w:rsid w:val="00BF0525"/>
    <w:rsid w:val="00BF2201"/>
    <w:rsid w:val="00BF35D6"/>
    <w:rsid w:val="00BF693E"/>
    <w:rsid w:val="00C05443"/>
    <w:rsid w:val="00C10A14"/>
    <w:rsid w:val="00C10F24"/>
    <w:rsid w:val="00C1199F"/>
    <w:rsid w:val="00C13791"/>
    <w:rsid w:val="00C159B6"/>
    <w:rsid w:val="00C15EA6"/>
    <w:rsid w:val="00C2033A"/>
    <w:rsid w:val="00C22F10"/>
    <w:rsid w:val="00C36EAA"/>
    <w:rsid w:val="00C44102"/>
    <w:rsid w:val="00C44A6A"/>
    <w:rsid w:val="00C47953"/>
    <w:rsid w:val="00C52EA7"/>
    <w:rsid w:val="00C54165"/>
    <w:rsid w:val="00C643DA"/>
    <w:rsid w:val="00C65F2B"/>
    <w:rsid w:val="00C77852"/>
    <w:rsid w:val="00C830E5"/>
    <w:rsid w:val="00C836F9"/>
    <w:rsid w:val="00C91C42"/>
    <w:rsid w:val="00C97210"/>
    <w:rsid w:val="00CA0021"/>
    <w:rsid w:val="00CA2CB8"/>
    <w:rsid w:val="00CA6209"/>
    <w:rsid w:val="00CA753D"/>
    <w:rsid w:val="00CB4B82"/>
    <w:rsid w:val="00CD237A"/>
    <w:rsid w:val="00CD34EC"/>
    <w:rsid w:val="00CD6767"/>
    <w:rsid w:val="00CE7E64"/>
    <w:rsid w:val="00CF349D"/>
    <w:rsid w:val="00D10F34"/>
    <w:rsid w:val="00D12DD6"/>
    <w:rsid w:val="00D20995"/>
    <w:rsid w:val="00D214A1"/>
    <w:rsid w:val="00D21FEA"/>
    <w:rsid w:val="00D2269F"/>
    <w:rsid w:val="00D25202"/>
    <w:rsid w:val="00D2537B"/>
    <w:rsid w:val="00D25EE9"/>
    <w:rsid w:val="00D26763"/>
    <w:rsid w:val="00D31868"/>
    <w:rsid w:val="00D318B6"/>
    <w:rsid w:val="00D33AD8"/>
    <w:rsid w:val="00D4042A"/>
    <w:rsid w:val="00D407E8"/>
    <w:rsid w:val="00D409B5"/>
    <w:rsid w:val="00D4162A"/>
    <w:rsid w:val="00D4404C"/>
    <w:rsid w:val="00D45646"/>
    <w:rsid w:val="00D477A0"/>
    <w:rsid w:val="00D54BAC"/>
    <w:rsid w:val="00D81F8B"/>
    <w:rsid w:val="00D85F57"/>
    <w:rsid w:val="00D873DE"/>
    <w:rsid w:val="00DA5A9C"/>
    <w:rsid w:val="00DA6D88"/>
    <w:rsid w:val="00DB37C3"/>
    <w:rsid w:val="00DD7821"/>
    <w:rsid w:val="00DE5D11"/>
    <w:rsid w:val="00E10161"/>
    <w:rsid w:val="00E1164D"/>
    <w:rsid w:val="00E1672D"/>
    <w:rsid w:val="00E16E87"/>
    <w:rsid w:val="00E36272"/>
    <w:rsid w:val="00E576F4"/>
    <w:rsid w:val="00E6068E"/>
    <w:rsid w:val="00E606C4"/>
    <w:rsid w:val="00E629F1"/>
    <w:rsid w:val="00E7317F"/>
    <w:rsid w:val="00E75B81"/>
    <w:rsid w:val="00E77029"/>
    <w:rsid w:val="00E82F48"/>
    <w:rsid w:val="00E84493"/>
    <w:rsid w:val="00E9289E"/>
    <w:rsid w:val="00EA266D"/>
    <w:rsid w:val="00EA46F1"/>
    <w:rsid w:val="00EB3B4C"/>
    <w:rsid w:val="00EB77BB"/>
    <w:rsid w:val="00EE62D2"/>
    <w:rsid w:val="00EF7A63"/>
    <w:rsid w:val="00F01D8C"/>
    <w:rsid w:val="00F0366E"/>
    <w:rsid w:val="00F037E1"/>
    <w:rsid w:val="00F13BDA"/>
    <w:rsid w:val="00F1460D"/>
    <w:rsid w:val="00F3608D"/>
    <w:rsid w:val="00F36CF4"/>
    <w:rsid w:val="00F37300"/>
    <w:rsid w:val="00F41E1F"/>
    <w:rsid w:val="00F43027"/>
    <w:rsid w:val="00F446CF"/>
    <w:rsid w:val="00F45F84"/>
    <w:rsid w:val="00F5341F"/>
    <w:rsid w:val="00F5623E"/>
    <w:rsid w:val="00F66520"/>
    <w:rsid w:val="00F762B4"/>
    <w:rsid w:val="00F768D8"/>
    <w:rsid w:val="00F77725"/>
    <w:rsid w:val="00F840A3"/>
    <w:rsid w:val="00F90F75"/>
    <w:rsid w:val="00FA0550"/>
    <w:rsid w:val="00FA5128"/>
    <w:rsid w:val="00FB5847"/>
    <w:rsid w:val="00FB7960"/>
    <w:rsid w:val="00FD4DBE"/>
    <w:rsid w:val="00FE18A0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2F977-07CA-4BD9-92AE-B6ACADFA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6A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1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F2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F11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F11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styleId="nfaseSutil">
    <w:name w:val="Subtle Emphasis"/>
    <w:basedOn w:val="Fontepargpadro"/>
    <w:uiPriority w:val="19"/>
    <w:qFormat/>
    <w:rsid w:val="001F116A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unhideWhenUsed/>
    <w:rsid w:val="001F1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16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1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16A"/>
    <w:rPr>
      <w:rFonts w:eastAsiaTheme="minorEastAsia"/>
      <w:lang w:eastAsia="pt-BR"/>
    </w:rPr>
  </w:style>
  <w:style w:type="paragraph" w:styleId="SemEspaamento">
    <w:name w:val="No Spacing"/>
    <w:link w:val="SemEspaamentoChar"/>
    <w:uiPriority w:val="1"/>
    <w:qFormat/>
    <w:rsid w:val="001F116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F116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16A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763EE"/>
    <w:pPr>
      <w:ind w:left="720"/>
      <w:contextualSpacing/>
    </w:pPr>
  </w:style>
  <w:style w:type="character" w:styleId="RefernciaSutil">
    <w:name w:val="Subtle Reference"/>
    <w:basedOn w:val="Fontepargpadro"/>
    <w:uiPriority w:val="31"/>
    <w:qFormat/>
    <w:rsid w:val="00FB7960"/>
    <w:rPr>
      <w:smallCaps/>
      <w:color w:val="5A5A5A" w:themeColor="text1" w:themeTint="A5"/>
    </w:rPr>
  </w:style>
  <w:style w:type="paragraph" w:styleId="Citao">
    <w:name w:val="Quote"/>
    <w:basedOn w:val="Normal"/>
    <w:next w:val="Normal"/>
    <w:link w:val="CitaoChar"/>
    <w:uiPriority w:val="29"/>
    <w:qFormat/>
    <w:rsid w:val="00FB79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B7960"/>
    <w:rPr>
      <w:rFonts w:eastAsiaTheme="minorEastAsia"/>
      <w:i/>
      <w:iCs/>
      <w:color w:val="404040" w:themeColor="text1" w:themeTint="BF"/>
      <w:lang w:eastAsia="pt-BR"/>
    </w:rPr>
  </w:style>
  <w:style w:type="character" w:styleId="Forte">
    <w:name w:val="Strong"/>
    <w:basedOn w:val="Fontepargpadro"/>
    <w:uiPriority w:val="22"/>
    <w:qFormat/>
    <w:rsid w:val="00FB7960"/>
    <w:rPr>
      <w:b/>
      <w:bCs/>
    </w:rPr>
  </w:style>
  <w:style w:type="character" w:styleId="nfaseIntensa">
    <w:name w:val="Intense Emphasis"/>
    <w:basedOn w:val="Fontepargpadro"/>
    <w:uiPriority w:val="21"/>
    <w:qFormat/>
    <w:rsid w:val="00FB7960"/>
    <w:rPr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766FF1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22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os@sinfacr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RBS</dc:creator>
  <cp:lastModifiedBy>AOC-2</cp:lastModifiedBy>
  <cp:revision>2</cp:revision>
  <dcterms:created xsi:type="dcterms:W3CDTF">2018-06-11T12:22:00Z</dcterms:created>
  <dcterms:modified xsi:type="dcterms:W3CDTF">2018-06-11T12:22:00Z</dcterms:modified>
</cp:coreProperties>
</file>